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5D" w:rsidRDefault="001638E1">
      <w:pPr>
        <w:pStyle w:val="2"/>
      </w:pPr>
      <w:bookmarkStart w:id="0" w:name="_GoBack"/>
      <w:r>
        <w:t>Порядок и условия присоединения к обслуживанию в системе Единый читательский билет Новосибирской области (ЕЧБ НСО)</w:t>
      </w:r>
    </w:p>
    <w:bookmarkEnd w:id="0"/>
    <w:p w:rsidR="0006495D" w:rsidRDefault="0006495D"/>
    <w:p w:rsidR="0006495D" w:rsidRDefault="001638E1">
      <w:r>
        <w:rPr>
          <w:b/>
          <w:bCs/>
          <w:color w:val="000000"/>
        </w:rPr>
        <w:t>1. Порядок присоединения</w:t>
      </w:r>
    </w:p>
    <w:p w:rsidR="0006495D" w:rsidRDefault="001638E1">
      <w:r>
        <w:tab/>
        <w:t xml:space="preserve">Ознакомление с Положением о ЕЧБ НСО, Регламентом взаимодействия участников в системе ЕЧБ НСО, Соглашением о </w:t>
      </w:r>
      <w:r>
        <w:t>присоединении и Памяткой пользователя ЕЧБ НСО;</w:t>
      </w:r>
    </w:p>
    <w:p w:rsidR="0006495D" w:rsidRDefault="001638E1">
      <w:r>
        <w:tab/>
        <w:t xml:space="preserve">Подготовка материалов для размещения на </w:t>
      </w:r>
      <w:proofErr w:type="gramStart"/>
      <w:r>
        <w:t>сайте</w:t>
      </w:r>
      <w:proofErr w:type="gramEnd"/>
      <w:r>
        <w:t xml:space="preserve"> проекта (см. Приложение №2 к заявке)</w:t>
      </w:r>
    </w:p>
    <w:p w:rsidR="0006495D" w:rsidRDefault="001638E1">
      <w:r>
        <w:tab/>
        <w:t>Организация соблюдения единых технологических требований Консорциума.</w:t>
      </w:r>
    </w:p>
    <w:p w:rsidR="0006495D" w:rsidRDefault="001638E1">
      <w:r>
        <w:tab/>
        <w:t>Направление заявки на присоединение с приложениями №1</w:t>
      </w:r>
      <w:r>
        <w:t xml:space="preserve"> и №2 в НГОНБ, председателю совета Консорциума библиотек Новосибирской области.</w:t>
      </w:r>
    </w:p>
    <w:p w:rsidR="0006495D" w:rsidRDefault="001638E1">
      <w:r>
        <w:tab/>
        <w:t>Подготовка организации процесса обслуживания читателей с учетом регламента Консорциума.</w:t>
      </w:r>
    </w:p>
    <w:p w:rsidR="0006495D" w:rsidRDefault="001638E1">
      <w:r>
        <w:tab/>
        <w:t>Обучение работе персонала библиотеки.</w:t>
      </w:r>
    </w:p>
    <w:p w:rsidR="0006495D" w:rsidRDefault="001638E1">
      <w:pPr>
        <w:jc w:val="both"/>
      </w:pPr>
      <w:r>
        <w:tab/>
        <w:t>Организация обмена единицами фонда с участникам</w:t>
      </w:r>
      <w:r>
        <w:t>и Консорциума из Регламента.</w:t>
      </w:r>
    </w:p>
    <w:p w:rsidR="0006495D" w:rsidRDefault="0006495D">
      <w:pPr>
        <w:pStyle w:val="a5"/>
        <w:spacing w:after="0"/>
        <w:jc w:val="both"/>
      </w:pPr>
    </w:p>
    <w:p w:rsidR="0006495D" w:rsidRDefault="001638E1">
      <w:r>
        <w:rPr>
          <w:b/>
          <w:bCs/>
        </w:rPr>
        <w:t>2. Технологические требования к библиотеке</w:t>
      </w:r>
    </w:p>
    <w:p w:rsidR="0006495D" w:rsidRDefault="001638E1">
      <w:pPr>
        <w:ind w:firstLine="737"/>
      </w:pPr>
      <w:r>
        <w:t xml:space="preserve">2.1. </w:t>
      </w:r>
      <w:r>
        <w:t>Обслуживание пользователей в автоматизированном режиме в системе автоматизации в АБИС. Модуль регистрации движения документов должен обрабатывать документы в автоматическом режим</w:t>
      </w:r>
      <w:r>
        <w:t>е.</w:t>
      </w:r>
    </w:p>
    <w:p w:rsidR="0006495D" w:rsidRDefault="001638E1">
      <w:pPr>
        <w:ind w:firstLine="737"/>
      </w:pPr>
      <w:r>
        <w:t>АБИС должна иметь возможность ввода информации об учетной записи пользователя в неполном или сокращенном виде с присвоением определенного идентификатора (штрих-кода/метки) билета в свободном формате.</w:t>
      </w:r>
    </w:p>
    <w:p w:rsidR="0006495D" w:rsidRDefault="001638E1">
      <w:pPr>
        <w:pStyle w:val="a9"/>
        <w:ind w:left="0" w:firstLine="794"/>
      </w:pPr>
      <w:r>
        <w:t>2.3. АБИС должна быть совместимая с российскими и меж</w:t>
      </w:r>
      <w:r>
        <w:t xml:space="preserve">дународными отраслевыми стандартами и протоколами обмена данными: </w:t>
      </w:r>
      <w:proofErr w:type="spellStart"/>
      <w:r>
        <w:t>Rusmarc</w:t>
      </w:r>
      <w:proofErr w:type="spellEnd"/>
      <w:r>
        <w:t xml:space="preserve">, 3M SIP2, </w:t>
      </w:r>
      <w:proofErr w:type="spellStart"/>
      <w:r>
        <w:t>http</w:t>
      </w:r>
      <w:proofErr w:type="spellEnd"/>
      <w:r>
        <w:t>/</w:t>
      </w:r>
      <w:proofErr w:type="spellStart"/>
      <w:r>
        <w:t>https</w:t>
      </w:r>
      <w:proofErr w:type="spellEnd"/>
      <w:r>
        <w:t>. Совместимость с UNICODE (UTF-8);</w:t>
      </w:r>
    </w:p>
    <w:p w:rsidR="0006495D" w:rsidRDefault="001638E1">
      <w:pPr>
        <w:pStyle w:val="a9"/>
        <w:ind w:left="0" w:firstLine="794"/>
      </w:pPr>
      <w:r>
        <w:t xml:space="preserve">2.4. Использование аппаратного </w:t>
      </w:r>
      <w:proofErr w:type="gramStart"/>
      <w:r>
        <w:t>обеспечения автоматизации операций ввода информации</w:t>
      </w:r>
      <w:proofErr w:type="gramEnd"/>
      <w:r>
        <w:t xml:space="preserve">:  </w:t>
      </w:r>
      <w:r>
        <w:rPr>
          <w:lang w:val="en-US"/>
        </w:rPr>
        <w:t>RFID</w:t>
      </w:r>
      <w:r>
        <w:t>-оборудование, сканер QR-кодов в места</w:t>
      </w:r>
      <w:r>
        <w:t>х обслуживания пользователей;</w:t>
      </w:r>
    </w:p>
    <w:p w:rsidR="0006495D" w:rsidRDefault="001638E1">
      <w:pPr>
        <w:pStyle w:val="a9"/>
        <w:ind w:left="0" w:firstLine="794"/>
      </w:pPr>
      <w:r>
        <w:t>2.5. Для обеспечения работоспособности сервисов ЕЧБ со стороны участника Консорциума необходимо обеспечить соблюдение единых правил:</w:t>
      </w:r>
    </w:p>
    <w:p w:rsidR="0006495D" w:rsidRDefault="001638E1">
      <w:pPr>
        <w:pStyle w:val="a5"/>
        <w:spacing w:after="0"/>
        <w:ind w:firstLine="794"/>
        <w:jc w:val="both"/>
      </w:pPr>
      <w:r>
        <w:t xml:space="preserve">2.5.1 Правила идентификации в системе единый читательский билет. </w:t>
      </w:r>
    </w:p>
    <w:p w:rsidR="0006495D" w:rsidRDefault="001638E1">
      <w:pPr>
        <w:pStyle w:val="a5"/>
        <w:spacing w:after="0"/>
        <w:ind w:firstLine="794"/>
        <w:jc w:val="both"/>
      </w:pPr>
      <w:r>
        <w:t xml:space="preserve">Идентификатор пользователя </w:t>
      </w:r>
      <w:r>
        <w:t xml:space="preserve">(номера читательского билета) включает </w:t>
      </w:r>
      <w:proofErr w:type="spellStart"/>
      <w:r>
        <w:t>сиглу</w:t>
      </w:r>
      <w:proofErr w:type="spellEnd"/>
      <w:r>
        <w:t xml:space="preserve"> библиотеки и формируется в личном кабинете библиотеки на сайте АБИС.</w:t>
      </w:r>
    </w:p>
    <w:p w:rsidR="0006495D" w:rsidRDefault="001638E1">
      <w:pPr>
        <w:pStyle w:val="a5"/>
        <w:spacing w:after="0"/>
        <w:ind w:firstLine="794"/>
        <w:jc w:val="both"/>
      </w:pPr>
      <w:r>
        <w:t xml:space="preserve">Идентификатор единиц фонда включает </w:t>
      </w:r>
      <w:proofErr w:type="spellStart"/>
      <w:r>
        <w:t>сиглу</w:t>
      </w:r>
      <w:proofErr w:type="spellEnd"/>
      <w:r>
        <w:t xml:space="preserve"> библиотеки и формируется в личном кабинете библиотеки на сайте АБИС.</w:t>
      </w:r>
    </w:p>
    <w:p w:rsidR="0006495D" w:rsidRDefault="001638E1">
      <w:pPr>
        <w:pStyle w:val="a5"/>
        <w:spacing w:after="0"/>
        <w:ind w:firstLine="794"/>
        <w:jc w:val="both"/>
      </w:pPr>
      <w:r>
        <w:t>2.5.2 Технология обслуживания п</w:t>
      </w:r>
      <w:r>
        <w:t>ользователей в системе единый читательский билет.</w:t>
      </w:r>
    </w:p>
    <w:p w:rsidR="0006495D" w:rsidRDefault="001638E1">
      <w:pPr>
        <w:pStyle w:val="a5"/>
        <w:spacing w:after="0"/>
        <w:ind w:firstLine="794"/>
        <w:jc w:val="both"/>
      </w:pPr>
      <w:r>
        <w:t>Предоставление пользователям пластиковых читательских билетов определенного дизайна с радиометкой</w:t>
      </w:r>
      <w:r>
        <w:rPr>
          <w:color w:val="000000"/>
        </w:rPr>
        <w:t>, согласно техническому заданию на изготовление пластиковых RFID-карт</w:t>
      </w:r>
      <w:proofErr w:type="gramStart"/>
      <w:r>
        <w:rPr>
          <w:color w:val="000000"/>
        </w:rPr>
        <w:t>,(</w:t>
      </w:r>
      <w:proofErr w:type="gramEnd"/>
      <w:r>
        <w:rPr>
          <w:color w:val="000000"/>
        </w:rPr>
        <w:t>Приложение № 3)</w:t>
      </w:r>
    </w:p>
    <w:p w:rsidR="0006495D" w:rsidRDefault="001638E1">
      <w:pPr>
        <w:pStyle w:val="a5"/>
        <w:spacing w:after="0"/>
        <w:ind w:firstLine="794"/>
        <w:jc w:val="both"/>
      </w:pPr>
      <w:r>
        <w:rPr>
          <w:color w:val="000000"/>
        </w:rPr>
        <w:t>2.5.3 Оснащение рабочи</w:t>
      </w:r>
      <w:r>
        <w:rPr>
          <w:color w:val="000000"/>
        </w:rPr>
        <w:t>х мест сотрудников считывателей RFID меток и 2D считывателями QR-кодов с интеграцией в АБИС.</w:t>
      </w:r>
    </w:p>
    <w:p w:rsidR="0006495D" w:rsidRDefault="001638E1">
      <w:pPr>
        <w:pStyle w:val="a5"/>
        <w:spacing w:after="0"/>
        <w:ind w:firstLine="794"/>
        <w:jc w:val="both"/>
      </w:pPr>
      <w:r>
        <w:rPr>
          <w:color w:val="000000"/>
        </w:rPr>
        <w:t>2.6. Подготовка фонда для автоматизированного движения в системе единый читательский билет.</w:t>
      </w:r>
    </w:p>
    <w:p w:rsidR="0006495D" w:rsidRDefault="001638E1">
      <w:pPr>
        <w:pStyle w:val="a5"/>
        <w:spacing w:after="0"/>
        <w:ind w:firstLine="794"/>
        <w:jc w:val="both"/>
      </w:pPr>
      <w:r>
        <w:rPr>
          <w:color w:val="000000"/>
        </w:rPr>
        <w:t xml:space="preserve">2.6.1 </w:t>
      </w:r>
      <w:r>
        <w:rPr>
          <w:color w:val="000000"/>
        </w:rPr>
        <w:t xml:space="preserve">Маркировка единиц фонда единым идентификатором - </w:t>
      </w:r>
      <w:proofErr w:type="gramStart"/>
      <w:r>
        <w:rPr>
          <w:color w:val="000000"/>
        </w:rPr>
        <w:t>штрих-кодами</w:t>
      </w:r>
      <w:proofErr w:type="gramEnd"/>
      <w:r>
        <w:rPr>
          <w:color w:val="000000"/>
        </w:rPr>
        <w:t xml:space="preserve"> и </w:t>
      </w:r>
      <w:r>
        <w:rPr>
          <w:color w:val="000000"/>
        </w:rPr>
        <w:t>радиометкой.</w:t>
      </w:r>
    </w:p>
    <w:p w:rsidR="0006495D" w:rsidRDefault="001638E1">
      <w:pPr>
        <w:pStyle w:val="a5"/>
        <w:spacing w:after="0"/>
        <w:ind w:firstLine="794"/>
        <w:jc w:val="both"/>
      </w:pPr>
      <w:r>
        <w:rPr>
          <w:color w:val="000000"/>
        </w:rPr>
        <w:t>2.6.2 Классификация фонда в АБИС по критерию выносимое/не выносимое на дом для обеспечения контроля движения фонда за пределы библиотеки.</w:t>
      </w:r>
    </w:p>
    <w:p w:rsidR="0006495D" w:rsidRDefault="0006495D">
      <w:pPr>
        <w:ind w:left="360"/>
        <w:jc w:val="both"/>
      </w:pPr>
    </w:p>
    <w:p w:rsidR="0006495D" w:rsidRDefault="001638E1">
      <w:r>
        <w:rPr>
          <w:b/>
          <w:bCs/>
          <w:color w:val="000000"/>
        </w:rPr>
        <w:t>3. Технические условия</w:t>
      </w:r>
    </w:p>
    <w:p w:rsidR="0006495D" w:rsidRDefault="001638E1">
      <w:pPr>
        <w:pStyle w:val="a5"/>
        <w:spacing w:after="0"/>
        <w:ind w:firstLine="708"/>
        <w:jc w:val="both"/>
      </w:pPr>
      <w:r>
        <w:rPr>
          <w:color w:val="000000"/>
        </w:rPr>
        <w:lastRenderedPageBreak/>
        <w:t>Аппаратное обеспечение радиочастотного комплекса должно соответствовать стандарту</w:t>
      </w:r>
      <w:r>
        <w:rPr>
          <w:color w:val="000000"/>
        </w:rPr>
        <w:t xml:space="preserve"> ISO/IEC 15693 и работать на частоте 13,56 МГц.</w:t>
      </w:r>
    </w:p>
    <w:p w:rsidR="0006495D" w:rsidRDefault="001638E1">
      <w:pPr>
        <w:pStyle w:val="a5"/>
        <w:spacing w:after="0"/>
        <w:ind w:firstLine="708"/>
        <w:jc w:val="both"/>
      </w:pPr>
      <w:r w:rsidRPr="001638E1">
        <w:rPr>
          <w:color w:val="000000"/>
        </w:rPr>
        <w:t xml:space="preserve">Радиочастотные метки, используемые в пластиковых картах читателя и в метках единиц фонда, должны быть аналогичны по характеристикам меток </w:t>
      </w:r>
      <w:r>
        <w:rPr>
          <w:color w:val="000000"/>
          <w:lang w:val="en-US"/>
        </w:rPr>
        <w:t>NXP</w:t>
      </w:r>
      <w:r w:rsidRPr="001638E1">
        <w:rPr>
          <w:color w:val="000000"/>
        </w:rPr>
        <w:t xml:space="preserve"> </w:t>
      </w:r>
      <w:r>
        <w:rPr>
          <w:color w:val="000000"/>
          <w:lang w:val="en-US"/>
        </w:rPr>
        <w:t>ICODE</w:t>
      </w:r>
      <w:r w:rsidRPr="001638E1">
        <w:rPr>
          <w:color w:val="000000"/>
        </w:rPr>
        <w:t xml:space="preserve"> </w:t>
      </w:r>
      <w:r>
        <w:rPr>
          <w:color w:val="000000"/>
          <w:lang w:val="en-US"/>
        </w:rPr>
        <w:t>SLIX</w:t>
      </w:r>
      <w:r w:rsidRPr="001638E1">
        <w:rPr>
          <w:color w:val="000000"/>
        </w:rPr>
        <w:t>2.</w:t>
      </w:r>
    </w:p>
    <w:p w:rsidR="0006495D" w:rsidRDefault="001638E1">
      <w:pPr>
        <w:pStyle w:val="a5"/>
        <w:spacing w:after="0"/>
        <w:ind w:firstLine="708"/>
        <w:jc w:val="both"/>
      </w:pPr>
      <w:r>
        <w:rPr>
          <w:color w:val="000000"/>
        </w:rPr>
        <w:t xml:space="preserve">Наличие RFID оборудования самообслуживания читателей </w:t>
      </w:r>
      <w:r>
        <w:rPr>
          <w:color w:val="000000"/>
        </w:rPr>
        <w:t>не является обязательным условием. Можно обойтись радиочастотными станциями библиотекаря.</w:t>
      </w:r>
    </w:p>
    <w:p w:rsidR="0006495D" w:rsidRDefault="0006495D">
      <w:pPr>
        <w:pStyle w:val="Standard"/>
        <w:ind w:firstLine="737"/>
        <w:rPr>
          <w:rFonts w:ascii="XO Thames" w:hAnsi="XO Thames"/>
          <w:sz w:val="26"/>
          <w:szCs w:val="26"/>
        </w:rPr>
      </w:pPr>
    </w:p>
    <w:p w:rsidR="0006495D" w:rsidRDefault="001638E1">
      <w:pPr>
        <w:jc w:val="both"/>
      </w:pPr>
      <w:r>
        <w:rPr>
          <w:b/>
          <w:bCs/>
        </w:rPr>
        <w:t>Приложение.</w:t>
      </w:r>
    </w:p>
    <w:p w:rsidR="0006495D" w:rsidRDefault="001638E1">
      <w:pPr>
        <w:jc w:val="both"/>
      </w:pPr>
      <w:r>
        <w:rPr>
          <w:b/>
          <w:bCs/>
        </w:rPr>
        <w:t>Формат идентификаторов, принятый в системе ЕЧБ НСО</w:t>
      </w:r>
    </w:p>
    <w:p w:rsidR="0006495D" w:rsidRDefault="001638E1">
      <w:pPr>
        <w:ind w:left="360"/>
        <w:jc w:val="both"/>
      </w:pPr>
      <w:r>
        <w:rPr>
          <w:b/>
          <w:bCs/>
        </w:rPr>
        <w:t>Читательский билет.</w:t>
      </w:r>
      <w:r>
        <w:t xml:space="preserve"> Идентификатор содержит тринадцать разрядов:</w:t>
      </w:r>
    </w:p>
    <w:p w:rsidR="0006495D" w:rsidRDefault="001638E1">
      <w:pPr>
        <w:ind w:left="360"/>
        <w:jc w:val="both"/>
      </w:pPr>
      <w:r>
        <w:t>- первые семь разрядов – порядковый но</w:t>
      </w:r>
      <w:r>
        <w:t>мер пользователя, дополненный ведущими нулями;</w:t>
      </w:r>
    </w:p>
    <w:p w:rsidR="0006495D" w:rsidRDefault="001638E1">
      <w:pPr>
        <w:ind w:left="360"/>
        <w:jc w:val="both"/>
      </w:pPr>
      <w:r>
        <w:t xml:space="preserve">- разряды  8-12, последние пять цифр </w:t>
      </w:r>
      <w:proofErr w:type="spellStart"/>
      <w:r>
        <w:t>сиглы</w:t>
      </w:r>
      <w:proofErr w:type="spellEnd"/>
      <w:r>
        <w:t xml:space="preserve"> библиотеки, завершает контрольный разряд, который является остатком от деления на число 11 суммы произведений цифры на ее позицию. Если остаток от деления равен 10, т</w:t>
      </w:r>
      <w:r>
        <w:t>о такой штрих-код исключается из формирования.</w:t>
      </w:r>
    </w:p>
    <w:p w:rsidR="0006495D" w:rsidRDefault="001638E1">
      <w:pPr>
        <w:ind w:left="360"/>
        <w:jc w:val="both"/>
      </w:pPr>
      <w:proofErr w:type="spellStart"/>
      <w:r>
        <w:t>Сигла</w:t>
      </w:r>
      <w:proofErr w:type="spellEnd"/>
      <w:r>
        <w:t xml:space="preserve"> библиотеки – это код ISIL библиотеки, который можно узнать на </w:t>
      </w:r>
      <w:proofErr w:type="gramStart"/>
      <w:r>
        <w:t>сайте</w:t>
      </w:r>
      <w:proofErr w:type="gramEnd"/>
      <w:r>
        <w:t xml:space="preserve"> ГПНТБ России </w:t>
      </w:r>
      <w:hyperlink r:id="rId5">
        <w:r>
          <w:rPr>
            <w:rStyle w:val="a3"/>
          </w:rPr>
          <w:t>https://www.gpntb.ru/isil/searchdb.php</w:t>
        </w:r>
      </w:hyperlink>
      <w:r>
        <w:t xml:space="preserve"> , если у библиотеки нет к</w:t>
      </w:r>
      <w:r>
        <w:t xml:space="preserve">ода ISIL, то нужно подать заявку на получение кода ISIL на странице: </w:t>
      </w:r>
      <w:hyperlink r:id="rId6">
        <w:r>
          <w:rPr>
            <w:rStyle w:val="a3"/>
          </w:rPr>
          <w:t>https://www.gpntb.ru/isil/</w:t>
        </w:r>
      </w:hyperlink>
      <w:r>
        <w:t>. Например, код ISIL для НГОНБ: RU-63017091, «суффикс» - 01709;</w:t>
      </w:r>
    </w:p>
    <w:p w:rsidR="0006495D" w:rsidRDefault="001638E1">
      <w:pPr>
        <w:ind w:left="360"/>
        <w:jc w:val="both"/>
      </w:pPr>
      <w:r>
        <w:t>Метка единицы фонда. Идентификатор документов фонда</w:t>
      </w:r>
      <w:r>
        <w:t xml:space="preserve"> содержит четырнадцать позиций:</w:t>
      </w:r>
    </w:p>
    <w:p w:rsidR="0006495D" w:rsidRDefault="001638E1">
      <w:pPr>
        <w:ind w:left="360"/>
        <w:jc w:val="both"/>
      </w:pPr>
      <w:r>
        <w:t>- первые шесть позиций – порядковый номер, дополненный ведущими нулями,</w:t>
      </w:r>
    </w:p>
    <w:p w:rsidR="0006495D" w:rsidRDefault="001638E1">
      <w:pPr>
        <w:ind w:left="360"/>
        <w:jc w:val="both"/>
      </w:pPr>
      <w:r>
        <w:t xml:space="preserve">- позиции 7-14 - </w:t>
      </w:r>
      <w:proofErr w:type="spellStart"/>
      <w:r>
        <w:t>Сигла</w:t>
      </w:r>
      <w:proofErr w:type="spellEnd"/>
      <w:r>
        <w:t xml:space="preserve"> библиотеки</w:t>
      </w:r>
    </w:p>
    <w:p w:rsidR="0006495D" w:rsidRDefault="001638E1">
      <w:pPr>
        <w:ind w:left="360"/>
        <w:jc w:val="both"/>
      </w:pPr>
      <w:r>
        <w:t>Например, для НГОНБ экземпляр с №1 имеет следующий  вид: 00000163017091.</w:t>
      </w:r>
    </w:p>
    <w:p w:rsidR="0006495D" w:rsidRDefault="0006495D">
      <w:pPr>
        <w:jc w:val="both"/>
      </w:pPr>
    </w:p>
    <w:sectPr w:rsidR="0006495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1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06495D"/>
    <w:rsid w:val="0006495D"/>
    <w:rsid w:val="0016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Droid Sans Fallback" w:hAnsi="XO Thames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9CE"/>
    <w:rPr>
      <w:color w:val="0000EE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Droid Sans Fallback" w:hAnsi="XO Thames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9CE"/>
    <w:rPr>
      <w:color w:val="0000EE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pntb.ru/isil/" TargetMode="External"/><Relationship Id="rId5" Type="http://schemas.openxmlformats.org/officeDocument/2006/relationships/hyperlink" Target="https://www.gpntb.ru/isil/searchdb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2</cp:revision>
  <dcterms:created xsi:type="dcterms:W3CDTF">2024-05-27T04:45:00Z</dcterms:created>
  <dcterms:modified xsi:type="dcterms:W3CDTF">2024-05-27T04:45:00Z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2024-04-16T13:30:36Z</dcterms:created>
  <dc:creator>Вячеслав  Дащенко</dc:creator>
  <dc:description/>
  <dc:language>ru-RU</dc:language>
  <cp:lastModifiedBy>Вячеслав  Дащенко</cp:lastModifiedBy>
  <dcterms:modified xsi:type="dcterms:W3CDTF">2024-04-18T09:39:22Z</dcterms:modified>
  <cp:revision>11</cp:revision>
  <dc:subject/>
  <dc:title/>
</cp:coreProperties>
</file>